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教务处</w:t>
      </w:r>
      <w:r>
        <w:rPr>
          <w:rFonts w:ascii="黑体" w:hAnsi="黑体" w:eastAsia="黑体" w:cs="黑体"/>
          <w:sz w:val="36"/>
          <w:szCs w:val="36"/>
        </w:rPr>
        <w:t>2019-2020</w:t>
      </w:r>
      <w:r>
        <w:rPr>
          <w:rFonts w:hint="eastAsia" w:ascii="黑体" w:hAnsi="黑体" w:eastAsia="黑体" w:cs="黑体"/>
          <w:sz w:val="36"/>
          <w:szCs w:val="36"/>
        </w:rPr>
        <w:t>学年第一学期工作要点</w:t>
      </w:r>
    </w:p>
    <w:tbl>
      <w:tblPr>
        <w:tblStyle w:val="12"/>
        <w:tblW w:w="9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6499"/>
        <w:gridCol w:w="1213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</w:rPr>
              <w:t>分类</w:t>
            </w:r>
          </w:p>
        </w:tc>
        <w:tc>
          <w:tcPr>
            <w:tcW w:w="649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</w:rPr>
              <w:t>时间</w:t>
            </w:r>
          </w:p>
          <w:p>
            <w:pPr>
              <w:jc w:val="center"/>
              <w:rPr>
                <w:rFonts w:ascii="仿宋_GB2312" w:hAnsi="黑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一、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重点</w:t>
            </w:r>
          </w:p>
          <w:p>
            <w:pPr>
              <w:jc w:val="center"/>
              <w:rPr>
                <w:rFonts w:ascii="仿宋_GB2312" w:hAnsi="黑体" w:eastAsia="仿宋_GB2312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工作</w:t>
            </w:r>
          </w:p>
        </w:tc>
        <w:tc>
          <w:tcPr>
            <w:tcW w:w="6499" w:type="dxa"/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以党建工作为统领，全面推进应用型本科教学建设。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</w:rPr>
              <w:t>边传周</w:t>
            </w:r>
          </w:p>
          <w:p>
            <w:pPr>
              <w:jc w:val="center"/>
              <w:rPr>
                <w:rFonts w:ascii="仿宋_GB2312" w:hAnsi="黑体" w:eastAsia="仿宋_GB2312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</w:rPr>
              <w:t>杨行昌</w:t>
            </w:r>
          </w:p>
          <w:p>
            <w:pPr>
              <w:jc w:val="center"/>
              <w:rPr>
                <w:rFonts w:ascii="仿宋_GB2312" w:hAnsi="黑体" w:eastAsia="仿宋_GB2312" w:cs="黑体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本学期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6499" w:type="dxa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="45" w:afterAutospacing="0"/>
              <w:rPr>
                <w:rFonts w:ascii="仿宋" w:hAnsi="仿宋" w:eastAsia="仿宋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24"/>
                <w:szCs w:val="24"/>
              </w:rPr>
              <w:t>系统构建完备的教学管理制度体系。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修订完善教学管理制度。按照合格评估要求，系统梳理、修改、完善，分类汇编成册下发，认真贯彻落实。（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）全面规范教学基本文件。根据学校的基本制度和参考模板，结合各教学单位实际，制（修）定二级单位教学运行和管理的具体实施办法，进一步规范教学基本文件。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exact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6499" w:type="dxa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推进“课堂教学质量年”活动，提升教师教书育人能力。</w:t>
            </w:r>
          </w:p>
          <w:p>
            <w:pPr>
              <w:numPr>
                <w:ilvl w:val="0"/>
                <w:numId w:val="3"/>
              </w:numPr>
              <w:spacing w:line="34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制定课堂教学质量提升方案，实施针对性的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分类分层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培训。（</w:t>
            </w:r>
            <w:r>
              <w:rPr>
                <w:rFonts w:ascii="仿宋" w:hAnsi="仿宋" w:eastAsia="仿宋" w:cs="宋体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）织开展优秀板书、优秀教案、优秀课件、优秀试卷评选活动，围绕课堂教学全过程树典型、立标杆。（</w:t>
            </w:r>
            <w:r>
              <w:rPr>
                <w:rFonts w:ascii="仿宋" w:hAnsi="仿宋" w:eastAsia="仿宋" w:cs="宋体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）持续深入开展“启发式讲授、互动式交流、探究式讨论”观摩课，打造一批金课。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促进信息技术与教育教学的深度融合，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推进泛雅、移动等教学平台建设和“学堂在线”等互动教学工具应用，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深化课堂教学改革。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exact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6499" w:type="dxa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ind w:left="0" w:leftChars="0" w:firstLine="0" w:firstLineChars="0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加强一流专业与课程建设，提升人才培养质量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。</w:t>
            </w:r>
          </w:p>
          <w:p>
            <w:pPr>
              <w:numPr>
                <w:numId w:val="0"/>
              </w:numPr>
              <w:spacing w:line="340" w:lineRule="exact"/>
              <w:ind w:leftChars="0"/>
              <w:rPr>
                <w:rFonts w:ascii="仿宋" w:hAnsi="仿宋" w:eastAsia="仿宋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2020年新增本科专业申报工作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做好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省级和校级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一流本科专业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建设。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精品在线开放课程立项与建设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和校级三级课程建设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工作，加快优质课程资源建设，引进优质网络课程。（</w:t>
            </w:r>
            <w:r>
              <w:rPr>
                <w:rFonts w:ascii="仿宋" w:hAnsi="仿宋" w:eastAsia="仿宋" w:cs="宋体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）制定关于实施课堂思政的办法和方案。</w:t>
            </w:r>
          </w:p>
          <w:p>
            <w:pPr>
              <w:spacing w:line="34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exact"/>
        </w:trPr>
        <w:tc>
          <w:tcPr>
            <w:tcW w:w="1006" w:type="dxa"/>
            <w:vMerge w:val="restart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二、</w:t>
            </w:r>
          </w:p>
          <w:p>
            <w:pPr>
              <w:pStyle w:val="20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教学</w:t>
            </w:r>
          </w:p>
          <w:p>
            <w:pPr>
              <w:pStyle w:val="20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运行</w:t>
            </w:r>
          </w:p>
          <w:p>
            <w:pPr>
              <w:pStyle w:val="20"/>
              <w:ind w:firstLine="0" w:firstLineChars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管理</w:t>
            </w:r>
          </w:p>
        </w:tc>
        <w:tc>
          <w:tcPr>
            <w:tcW w:w="6499" w:type="dxa"/>
            <w:vAlign w:val="center"/>
          </w:tcPr>
          <w:p>
            <w:pPr>
              <w:tabs>
                <w:tab w:val="left" w:pos="374"/>
              </w:tabs>
              <w:spacing w:line="240" w:lineRule="atLeas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教学运行管理：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）落实本期课程表、进程表和授课计划；（</w:t>
            </w:r>
            <w:r>
              <w:rPr>
                <w:rFonts w:ascii="仿宋" w:hAnsi="仿宋" w:eastAsia="仿宋" w:cs="宋体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）本科生重修及学籍异动学生补修等；（</w:t>
            </w:r>
            <w:r>
              <w:rPr>
                <w:rFonts w:ascii="仿宋" w:hAnsi="仿宋" w:eastAsia="仿宋" w:cs="宋体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）组织学生选课；（</w:t>
            </w:r>
            <w:r>
              <w:rPr>
                <w:rFonts w:ascii="仿宋" w:hAnsi="仿宋" w:eastAsia="仿宋" w:cs="宋体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）下学期教学计划录入、任务下达与落实。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薛庆平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本学期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1006" w:type="dxa"/>
            <w:vMerge w:val="continue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6499" w:type="dxa"/>
            <w:vAlign w:val="center"/>
          </w:tcPr>
          <w:p>
            <w:pPr>
              <w:tabs>
                <w:tab w:val="left" w:pos="374"/>
              </w:tabs>
              <w:spacing w:line="240" w:lineRule="atLeast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考试考务工作：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期初成绩发布、补考安排及成绩认定；（</w:t>
            </w:r>
            <w:r>
              <w:rPr>
                <w:rFonts w:ascii="仿宋" w:hAnsi="仿宋" w:eastAsia="仿宋" w:cs="宋体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大学英语四、六级报名和考试；（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）期中、期末考试及课程考核改革申报。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本学期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exact"/>
        </w:trPr>
        <w:tc>
          <w:tcPr>
            <w:tcW w:w="1006" w:type="dxa"/>
            <w:vMerge w:val="continue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6499" w:type="dxa"/>
            <w:vAlign w:val="center"/>
          </w:tcPr>
          <w:p>
            <w:pPr>
              <w:tabs>
                <w:tab w:val="left" w:pos="374"/>
              </w:tabs>
              <w:spacing w:line="240" w:lineRule="atLeast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加强学习过程监控与考核：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）规范平时成绩和课堂出勤情况考核，加大过程考核成绩比重，健全能力与知识考核并重的多元化学业考核评价体系。（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）严格考务工作管理，强化试卷审查，稳步推进教考分离试点，开展严肃考风考纪专项行动。（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）完善学生学习过程监测、评估与反馈机制。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本学期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1006" w:type="dxa"/>
            <w:vMerge w:val="continue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6499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本科微专业辅修：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组织相关学院按照培养方案安排课表，选聘班主任，统筹做好教学和管理工作。</w:t>
            </w:r>
          </w:p>
          <w:p>
            <w:pPr>
              <w:tabs>
                <w:tab w:val="left" w:pos="374"/>
              </w:tabs>
              <w:spacing w:line="240" w:lineRule="atLeast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本学期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1006" w:type="dxa"/>
            <w:vMerge w:val="restart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三、</w:t>
            </w:r>
          </w:p>
          <w:p>
            <w:pPr>
              <w:pStyle w:val="20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师资</w:t>
            </w:r>
          </w:p>
          <w:p>
            <w:pPr>
              <w:pStyle w:val="20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队伍</w:t>
            </w:r>
          </w:p>
          <w:p>
            <w:pPr>
              <w:pStyle w:val="20"/>
              <w:ind w:firstLine="0" w:firstLineChars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管理</w:t>
            </w:r>
          </w:p>
        </w:tc>
        <w:tc>
          <w:tcPr>
            <w:tcW w:w="6499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持续深入开展“四位一体”师资提升工程。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开展“二次培训”、“三级骨干”、“示范引领”和“双兼双聘”等四项工程，强化专任教师赴企业锻炼，全面提升教师教学能力。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夏晶晶</w:t>
            </w:r>
          </w:p>
        </w:tc>
        <w:tc>
          <w:tcPr>
            <w:tcW w:w="11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本学期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exact"/>
        </w:trPr>
        <w:tc>
          <w:tcPr>
            <w:tcW w:w="1006" w:type="dxa"/>
            <w:vMerge w:val="continue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6499" w:type="dxa"/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强化基层教学组织，建设“一流教研室”。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）及时统筹优化设置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eastAsia="zh-CN"/>
              </w:rPr>
              <w:t>，力推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专兼职教师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eastAsia="zh-CN"/>
              </w:rPr>
              <w:t>按学科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归属；（</w:t>
            </w:r>
            <w:r>
              <w:rPr>
                <w:rFonts w:ascii="仿宋" w:hAnsi="仿宋" w:eastAsia="仿宋" w:cs="宋体"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）建立健全教研室组织机构和规章制度；（</w:t>
            </w:r>
            <w:r>
              <w:rPr>
                <w:rFonts w:ascii="仿宋" w:hAnsi="仿宋" w:eastAsia="仿宋" w:cs="宋体"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）组织开展基层教学组织达标创优活动，发挥其教学研讨、教师培养、教研科研等方面的基础性作用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。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本学期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exact"/>
        </w:trPr>
        <w:tc>
          <w:tcPr>
            <w:tcW w:w="1006" w:type="dxa"/>
            <w:vMerge w:val="continue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6499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深化教师教学质量考评制度。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）突出教与学并重，完善学生评教、督导评教和院部评教的方式和标准。（</w:t>
            </w:r>
            <w:r>
              <w:rPr>
                <w:rFonts w:ascii="仿宋" w:hAnsi="仿宋" w:eastAsia="仿宋" w:cs="宋体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）完善教师教学激励体制机制，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绩效考核和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优秀教学奖评选活动。（</w:t>
            </w:r>
            <w:r>
              <w:rPr>
                <w:rFonts w:ascii="仿宋" w:hAnsi="仿宋" w:eastAsia="仿宋" w:cs="宋体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）完善教学约束机制，严格执行教授、副教授课堂授课制度。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本学期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006" w:type="dxa"/>
            <w:vMerge w:val="continue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6499" w:type="dxa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外聘教师管理。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加强外聘教师的聘任、培训、日常管理和考核工作，重点强化外聘教师的资格审查和教学督导督查。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本学期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exact"/>
        </w:trPr>
        <w:tc>
          <w:tcPr>
            <w:tcW w:w="1006" w:type="dxa"/>
            <w:vMerge w:val="restart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四、</w:t>
            </w:r>
          </w:p>
          <w:p>
            <w:pPr>
              <w:pStyle w:val="20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实践</w:t>
            </w:r>
          </w:p>
          <w:p>
            <w:pPr>
              <w:pStyle w:val="20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教学</w:t>
            </w:r>
          </w:p>
          <w:p>
            <w:pPr>
              <w:pStyle w:val="20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管理</w:t>
            </w:r>
          </w:p>
        </w:tc>
        <w:tc>
          <w:tcPr>
            <w:tcW w:w="6499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实践教学体系构建。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分学科专业构建实践教学体系，组织实施实践教学体系的分类（理工农、经管文等）和分层（基础性、综合性、创新性等）设置、实施与管理，打造品牌与特色。</w:t>
            </w:r>
          </w:p>
          <w:p>
            <w:pPr>
              <w:spacing w:line="34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汤法银</w:t>
            </w:r>
          </w:p>
        </w:tc>
        <w:tc>
          <w:tcPr>
            <w:tcW w:w="11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本学期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exact"/>
        </w:trPr>
        <w:tc>
          <w:tcPr>
            <w:tcW w:w="1006" w:type="dxa"/>
            <w:vMerge w:val="continue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6499" w:type="dxa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实践教学运行管理。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统一规范课程实验、专业实践周、生产（毕业）实习等实践教学运行管理。（</w:t>
            </w:r>
            <w:r>
              <w:rPr>
                <w:rFonts w:ascii="仿宋" w:hAnsi="仿宋" w:eastAsia="仿宋" w:cs="宋体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）制定《综合性、设计性实验管理办法》等制度；（</w:t>
            </w:r>
            <w:r>
              <w:rPr>
                <w:rFonts w:ascii="仿宋" w:hAnsi="仿宋" w:eastAsia="仿宋" w:cs="宋体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）推进“校友邦”生产（毕业）实习网络管理平台应用。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9-10月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exact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9" w:type="dxa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本科毕业论文（设计）管理。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）安排</w:t>
            </w:r>
            <w:r>
              <w:rPr>
                <w:rFonts w:ascii="仿宋" w:hAnsi="仿宋" w:eastAsia="仿宋" w:cs="宋体"/>
                <w:bCs/>
                <w:sz w:val="24"/>
                <w:szCs w:val="24"/>
              </w:rPr>
              <w:t>2020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届毕业生论文工作，进一步细化毕业论文过程管理；（</w:t>
            </w:r>
            <w:r>
              <w:rPr>
                <w:rFonts w:ascii="仿宋" w:hAnsi="仿宋" w:eastAsia="仿宋" w:cs="宋体"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推进中国知网本科毕业论文（设计）网络管理平台及在线检测平台的培训、使用与管理工作。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9-10月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9" w:type="dxa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校外实践教学基地建设：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根据《校外实践教学基地建设与管理办法》，遴选和建设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融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“实践教学、就业创业和校企合作”一体化的校外实践教学基地。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11-12月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06" w:type="dxa"/>
            <w:vMerge w:val="restart"/>
            <w:vAlign w:val="center"/>
          </w:tcPr>
          <w:p>
            <w:pPr>
              <w:pStyle w:val="20"/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五、</w:t>
            </w:r>
          </w:p>
          <w:p>
            <w:pPr>
              <w:pStyle w:val="20"/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教材</w:t>
            </w:r>
          </w:p>
          <w:p>
            <w:pPr>
              <w:pStyle w:val="20"/>
              <w:spacing w:line="240" w:lineRule="atLeast"/>
              <w:ind w:firstLine="0" w:firstLineChars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管理</w:t>
            </w:r>
          </w:p>
        </w:tc>
        <w:tc>
          <w:tcPr>
            <w:tcW w:w="6499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教材供应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：及时准确供应师生用书。组组织开展校园书展。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张剑锋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006" w:type="dxa"/>
            <w:vMerge w:val="continue"/>
            <w:vAlign w:val="center"/>
          </w:tcPr>
          <w:p>
            <w:pPr>
              <w:pStyle w:val="20"/>
              <w:spacing w:line="240" w:lineRule="atLeast"/>
              <w:ind w:firstLine="0" w:firstLineChars="0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6499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教材质量监控与评价：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开展教材师生评价，及时反馈信息。完善教材管理系统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。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本学期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00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六、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学位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管理</w:t>
            </w:r>
          </w:p>
        </w:tc>
        <w:tc>
          <w:tcPr>
            <w:tcW w:w="6499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组织修订《学士学位授予管理办法》，并及时完善各学科专业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（或学院）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学位评定委员会。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汤法银</w:t>
            </w:r>
          </w:p>
        </w:tc>
        <w:tc>
          <w:tcPr>
            <w:tcW w:w="11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本学期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sz w:val="30"/>
                <w:szCs w:val="30"/>
              </w:rPr>
            </w:pPr>
          </w:p>
        </w:tc>
        <w:tc>
          <w:tcPr>
            <w:tcW w:w="6499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做好</w:t>
            </w:r>
            <w:r>
              <w:rPr>
                <w:rFonts w:ascii="仿宋" w:hAnsi="仿宋" w:eastAsia="仿宋" w:cs="宋体"/>
                <w:sz w:val="24"/>
                <w:szCs w:val="24"/>
              </w:rPr>
              <w:t>2020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年新增学士学位授权专业评审准备工作。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hAnsi="黑体" w:eastAsia="仿宋_GB2312" w:cs="黑体"/>
                <w:sz w:val="24"/>
                <w:szCs w:val="24"/>
              </w:rPr>
              <w:t>12-1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sz w:val="30"/>
                <w:szCs w:val="30"/>
              </w:rPr>
            </w:pPr>
          </w:p>
        </w:tc>
        <w:tc>
          <w:tcPr>
            <w:tcW w:w="6499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协调</w:t>
            </w:r>
            <w:r>
              <w:rPr>
                <w:rFonts w:ascii="仿宋" w:hAnsi="仿宋" w:eastAsia="仿宋" w:cs="宋体"/>
                <w:sz w:val="24"/>
                <w:szCs w:val="24"/>
              </w:rPr>
              <w:t>2020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届毕业生研究生招生考试报名工作。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hAnsi="黑体" w:eastAsia="仿宋_GB2312" w:cs="黑体"/>
                <w:sz w:val="24"/>
                <w:szCs w:val="24"/>
              </w:rPr>
              <w:t>10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月</w:t>
            </w:r>
          </w:p>
        </w:tc>
      </w:tr>
    </w:tbl>
    <w:p>
      <w:pPr>
        <w:widowControl/>
        <w:spacing w:line="400" w:lineRule="exact"/>
        <w:jc w:val="left"/>
        <w:rPr>
          <w:rFonts w:ascii="宋体" w:cs="宋体"/>
          <w:sz w:val="24"/>
          <w:szCs w:val="24"/>
        </w:rPr>
      </w:pPr>
    </w:p>
    <w:sectPr>
      <w:footerReference r:id="rId3" w:type="default"/>
      <w:pgSz w:w="11906" w:h="16838"/>
      <w:pgMar w:top="1134" w:right="567" w:bottom="1418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  <w:rFonts w:ascii="宋体"/>
      </w:rPr>
    </w:pPr>
    <w:r>
      <w:rPr>
        <w:rStyle w:val="9"/>
        <w:rFonts w:ascii="宋体" w:hAnsi="宋体"/>
      </w:rPr>
      <w:fldChar w:fldCharType="begin"/>
    </w:r>
    <w:r>
      <w:rPr>
        <w:rStyle w:val="9"/>
        <w:rFonts w:ascii="宋体" w:hAnsi="宋体"/>
      </w:rPr>
      <w:instrText xml:space="preserve">PAGE  </w:instrText>
    </w:r>
    <w:r>
      <w:rPr>
        <w:rStyle w:val="9"/>
        <w:rFonts w:ascii="宋体" w:hAnsi="宋体"/>
      </w:rPr>
      <w:fldChar w:fldCharType="separate"/>
    </w:r>
    <w:r>
      <w:rPr>
        <w:rStyle w:val="9"/>
        <w:rFonts w:ascii="宋体" w:hAnsi="宋体"/>
      </w:rPr>
      <w:t>- 2 -</w:t>
    </w:r>
    <w:r>
      <w:rPr>
        <w:rStyle w:val="9"/>
        <w:rFonts w:ascii="宋体" w:hAnsi="宋体"/>
      </w:rPr>
      <w:fldChar w:fldCharType="end"/>
    </w:r>
  </w:p>
  <w:p>
    <w:pPr>
      <w:pStyle w:val="6"/>
      <w:rPr>
        <w:rFonts w:ascii="宋体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EDAE5E"/>
    <w:multiLevelType w:val="singleLevel"/>
    <w:tmpl w:val="A0EDAE5E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0767FAAE"/>
    <w:multiLevelType w:val="singleLevel"/>
    <w:tmpl w:val="0767FAAE"/>
    <w:lvl w:ilvl="0" w:tentative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7FF22E31"/>
    <w:multiLevelType w:val="singleLevel"/>
    <w:tmpl w:val="7FF22E31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B9B"/>
    <w:rsid w:val="00006E75"/>
    <w:rsid w:val="00006F74"/>
    <w:rsid w:val="00017336"/>
    <w:rsid w:val="00021FE9"/>
    <w:rsid w:val="00030925"/>
    <w:rsid w:val="00031BC2"/>
    <w:rsid w:val="000376E3"/>
    <w:rsid w:val="00042E6A"/>
    <w:rsid w:val="00045E27"/>
    <w:rsid w:val="0005305D"/>
    <w:rsid w:val="000554FB"/>
    <w:rsid w:val="00057230"/>
    <w:rsid w:val="00057620"/>
    <w:rsid w:val="000726B8"/>
    <w:rsid w:val="00073199"/>
    <w:rsid w:val="00080572"/>
    <w:rsid w:val="000835E3"/>
    <w:rsid w:val="00090C1A"/>
    <w:rsid w:val="0009121A"/>
    <w:rsid w:val="00093F49"/>
    <w:rsid w:val="000A00FF"/>
    <w:rsid w:val="000A40F0"/>
    <w:rsid w:val="000A5848"/>
    <w:rsid w:val="000A67D1"/>
    <w:rsid w:val="000C258C"/>
    <w:rsid w:val="000D0EB1"/>
    <w:rsid w:val="000D0F63"/>
    <w:rsid w:val="000D18BB"/>
    <w:rsid w:val="000E5B8B"/>
    <w:rsid w:val="000E604D"/>
    <w:rsid w:val="000F1190"/>
    <w:rsid w:val="000F2B74"/>
    <w:rsid w:val="000F3D54"/>
    <w:rsid w:val="00110672"/>
    <w:rsid w:val="0011169C"/>
    <w:rsid w:val="001144FC"/>
    <w:rsid w:val="00115B74"/>
    <w:rsid w:val="0012013F"/>
    <w:rsid w:val="0012303C"/>
    <w:rsid w:val="0013016D"/>
    <w:rsid w:val="00132432"/>
    <w:rsid w:val="00132E71"/>
    <w:rsid w:val="00144B98"/>
    <w:rsid w:val="00150486"/>
    <w:rsid w:val="00157379"/>
    <w:rsid w:val="00175A38"/>
    <w:rsid w:val="00181923"/>
    <w:rsid w:val="00182682"/>
    <w:rsid w:val="00187219"/>
    <w:rsid w:val="001947F9"/>
    <w:rsid w:val="00196F0F"/>
    <w:rsid w:val="001A08E6"/>
    <w:rsid w:val="001A6ED8"/>
    <w:rsid w:val="001A7561"/>
    <w:rsid w:val="001A78A7"/>
    <w:rsid w:val="001A7FB9"/>
    <w:rsid w:val="001B021B"/>
    <w:rsid w:val="001B3D3B"/>
    <w:rsid w:val="001B5A92"/>
    <w:rsid w:val="001C27CA"/>
    <w:rsid w:val="001C4756"/>
    <w:rsid w:val="001C5143"/>
    <w:rsid w:val="001C7D92"/>
    <w:rsid w:val="001D075F"/>
    <w:rsid w:val="001D1562"/>
    <w:rsid w:val="001D1E15"/>
    <w:rsid w:val="001E0DAC"/>
    <w:rsid w:val="001E1384"/>
    <w:rsid w:val="001E170E"/>
    <w:rsid w:val="001E41EE"/>
    <w:rsid w:val="001E4348"/>
    <w:rsid w:val="001E5500"/>
    <w:rsid w:val="001F302F"/>
    <w:rsid w:val="00200F42"/>
    <w:rsid w:val="00201A71"/>
    <w:rsid w:val="00203236"/>
    <w:rsid w:val="00215A55"/>
    <w:rsid w:val="0021743C"/>
    <w:rsid w:val="002219F1"/>
    <w:rsid w:val="0022582F"/>
    <w:rsid w:val="00234CC7"/>
    <w:rsid w:val="00240613"/>
    <w:rsid w:val="00244BF2"/>
    <w:rsid w:val="00245B9C"/>
    <w:rsid w:val="00251D0C"/>
    <w:rsid w:val="002540CD"/>
    <w:rsid w:val="00273871"/>
    <w:rsid w:val="00283DC3"/>
    <w:rsid w:val="00284F70"/>
    <w:rsid w:val="002905A0"/>
    <w:rsid w:val="002A03DC"/>
    <w:rsid w:val="002A6778"/>
    <w:rsid w:val="002B1E5B"/>
    <w:rsid w:val="002B68B9"/>
    <w:rsid w:val="002C0EA0"/>
    <w:rsid w:val="002C4727"/>
    <w:rsid w:val="002C4A53"/>
    <w:rsid w:val="002C5E80"/>
    <w:rsid w:val="002D5188"/>
    <w:rsid w:val="002E1D21"/>
    <w:rsid w:val="002E70BD"/>
    <w:rsid w:val="002E7F17"/>
    <w:rsid w:val="002F6422"/>
    <w:rsid w:val="00300B7F"/>
    <w:rsid w:val="00312E1A"/>
    <w:rsid w:val="003177FA"/>
    <w:rsid w:val="003219FF"/>
    <w:rsid w:val="00322765"/>
    <w:rsid w:val="0032664B"/>
    <w:rsid w:val="00344865"/>
    <w:rsid w:val="00360299"/>
    <w:rsid w:val="00363FF5"/>
    <w:rsid w:val="00364F1D"/>
    <w:rsid w:val="00366265"/>
    <w:rsid w:val="0036779B"/>
    <w:rsid w:val="00382B43"/>
    <w:rsid w:val="00382BC2"/>
    <w:rsid w:val="0038310E"/>
    <w:rsid w:val="00383DD4"/>
    <w:rsid w:val="00383F9B"/>
    <w:rsid w:val="0039740F"/>
    <w:rsid w:val="003A2398"/>
    <w:rsid w:val="003A30BD"/>
    <w:rsid w:val="003A570E"/>
    <w:rsid w:val="003A5938"/>
    <w:rsid w:val="003C5527"/>
    <w:rsid w:val="003C6232"/>
    <w:rsid w:val="003C64A4"/>
    <w:rsid w:val="003C75F0"/>
    <w:rsid w:val="003D15A4"/>
    <w:rsid w:val="003D4896"/>
    <w:rsid w:val="003F1B54"/>
    <w:rsid w:val="004004D1"/>
    <w:rsid w:val="00402765"/>
    <w:rsid w:val="00405271"/>
    <w:rsid w:val="00406B34"/>
    <w:rsid w:val="0042147C"/>
    <w:rsid w:val="00431306"/>
    <w:rsid w:val="0043678F"/>
    <w:rsid w:val="0043756B"/>
    <w:rsid w:val="0046371F"/>
    <w:rsid w:val="0046466F"/>
    <w:rsid w:val="00465669"/>
    <w:rsid w:val="004669E7"/>
    <w:rsid w:val="00473F1B"/>
    <w:rsid w:val="00475FAB"/>
    <w:rsid w:val="00491DBA"/>
    <w:rsid w:val="0049442C"/>
    <w:rsid w:val="00496B9B"/>
    <w:rsid w:val="00496E88"/>
    <w:rsid w:val="0049786F"/>
    <w:rsid w:val="004A0424"/>
    <w:rsid w:val="004A3EB2"/>
    <w:rsid w:val="004A440A"/>
    <w:rsid w:val="004A714A"/>
    <w:rsid w:val="004A751F"/>
    <w:rsid w:val="004B1EB8"/>
    <w:rsid w:val="004B4B36"/>
    <w:rsid w:val="004B6A7F"/>
    <w:rsid w:val="004C2991"/>
    <w:rsid w:val="004C483C"/>
    <w:rsid w:val="004C5FD7"/>
    <w:rsid w:val="004C78B8"/>
    <w:rsid w:val="004D3A74"/>
    <w:rsid w:val="004E0370"/>
    <w:rsid w:val="004E3E77"/>
    <w:rsid w:val="004E4DE2"/>
    <w:rsid w:val="004F6A91"/>
    <w:rsid w:val="00501D89"/>
    <w:rsid w:val="00502C1A"/>
    <w:rsid w:val="00504275"/>
    <w:rsid w:val="00504AEE"/>
    <w:rsid w:val="00506DBF"/>
    <w:rsid w:val="0051142D"/>
    <w:rsid w:val="005156BD"/>
    <w:rsid w:val="00520976"/>
    <w:rsid w:val="00523843"/>
    <w:rsid w:val="0052687D"/>
    <w:rsid w:val="00551435"/>
    <w:rsid w:val="00552CCF"/>
    <w:rsid w:val="005578AC"/>
    <w:rsid w:val="00582EB3"/>
    <w:rsid w:val="005934E3"/>
    <w:rsid w:val="00596EAB"/>
    <w:rsid w:val="005A3D0C"/>
    <w:rsid w:val="005A540E"/>
    <w:rsid w:val="005A6548"/>
    <w:rsid w:val="005B3865"/>
    <w:rsid w:val="005B3C32"/>
    <w:rsid w:val="005B4E97"/>
    <w:rsid w:val="005D135F"/>
    <w:rsid w:val="005D16DF"/>
    <w:rsid w:val="005E3106"/>
    <w:rsid w:val="005E425B"/>
    <w:rsid w:val="005E64A9"/>
    <w:rsid w:val="005F2434"/>
    <w:rsid w:val="005F39AB"/>
    <w:rsid w:val="005F49CD"/>
    <w:rsid w:val="005F6A4F"/>
    <w:rsid w:val="00606011"/>
    <w:rsid w:val="00607637"/>
    <w:rsid w:val="00615E76"/>
    <w:rsid w:val="00623B72"/>
    <w:rsid w:val="00624319"/>
    <w:rsid w:val="00635201"/>
    <w:rsid w:val="006358DD"/>
    <w:rsid w:val="0064113C"/>
    <w:rsid w:val="00651BC4"/>
    <w:rsid w:val="006571A3"/>
    <w:rsid w:val="00662DB9"/>
    <w:rsid w:val="006635FF"/>
    <w:rsid w:val="006668CB"/>
    <w:rsid w:val="00666BDC"/>
    <w:rsid w:val="006958D9"/>
    <w:rsid w:val="006963DB"/>
    <w:rsid w:val="00696C19"/>
    <w:rsid w:val="006A0023"/>
    <w:rsid w:val="006A75D5"/>
    <w:rsid w:val="006B32C7"/>
    <w:rsid w:val="006B5371"/>
    <w:rsid w:val="006B5B22"/>
    <w:rsid w:val="006C544C"/>
    <w:rsid w:val="006D26B6"/>
    <w:rsid w:val="006E1CBE"/>
    <w:rsid w:val="006E7505"/>
    <w:rsid w:val="007077BA"/>
    <w:rsid w:val="00710DA5"/>
    <w:rsid w:val="0073288A"/>
    <w:rsid w:val="00737D80"/>
    <w:rsid w:val="00741768"/>
    <w:rsid w:val="00743652"/>
    <w:rsid w:val="00745395"/>
    <w:rsid w:val="00760E06"/>
    <w:rsid w:val="00761742"/>
    <w:rsid w:val="00763B38"/>
    <w:rsid w:val="00767257"/>
    <w:rsid w:val="007752F4"/>
    <w:rsid w:val="0078015F"/>
    <w:rsid w:val="00780B98"/>
    <w:rsid w:val="00781430"/>
    <w:rsid w:val="00781CF4"/>
    <w:rsid w:val="0078346B"/>
    <w:rsid w:val="00785A95"/>
    <w:rsid w:val="007868D2"/>
    <w:rsid w:val="00794A37"/>
    <w:rsid w:val="00797122"/>
    <w:rsid w:val="007B1D09"/>
    <w:rsid w:val="007B6BA0"/>
    <w:rsid w:val="007C46AA"/>
    <w:rsid w:val="007D22FB"/>
    <w:rsid w:val="007E3946"/>
    <w:rsid w:val="007E78EF"/>
    <w:rsid w:val="007F0452"/>
    <w:rsid w:val="007F12A7"/>
    <w:rsid w:val="008036B3"/>
    <w:rsid w:val="00803DFB"/>
    <w:rsid w:val="0081075D"/>
    <w:rsid w:val="00811B7A"/>
    <w:rsid w:val="00812736"/>
    <w:rsid w:val="00815168"/>
    <w:rsid w:val="00817182"/>
    <w:rsid w:val="00817AC4"/>
    <w:rsid w:val="00823665"/>
    <w:rsid w:val="00826CD7"/>
    <w:rsid w:val="00833247"/>
    <w:rsid w:val="00833B92"/>
    <w:rsid w:val="008563CE"/>
    <w:rsid w:val="0086050E"/>
    <w:rsid w:val="00873650"/>
    <w:rsid w:val="00894AA1"/>
    <w:rsid w:val="0089576F"/>
    <w:rsid w:val="008959E3"/>
    <w:rsid w:val="008A0EFF"/>
    <w:rsid w:val="008A300B"/>
    <w:rsid w:val="008B065C"/>
    <w:rsid w:val="008C3876"/>
    <w:rsid w:val="008D1088"/>
    <w:rsid w:val="008D192F"/>
    <w:rsid w:val="008D1E05"/>
    <w:rsid w:val="008E39C8"/>
    <w:rsid w:val="008E5A8C"/>
    <w:rsid w:val="008E5B8B"/>
    <w:rsid w:val="008E711B"/>
    <w:rsid w:val="008F0FB8"/>
    <w:rsid w:val="008F10FD"/>
    <w:rsid w:val="0090077C"/>
    <w:rsid w:val="00903EF9"/>
    <w:rsid w:val="00905595"/>
    <w:rsid w:val="00906374"/>
    <w:rsid w:val="00907B6C"/>
    <w:rsid w:val="00910D6E"/>
    <w:rsid w:val="00911CAB"/>
    <w:rsid w:val="009169BD"/>
    <w:rsid w:val="009228FA"/>
    <w:rsid w:val="00922F08"/>
    <w:rsid w:val="0092640B"/>
    <w:rsid w:val="00926F28"/>
    <w:rsid w:val="009409DC"/>
    <w:rsid w:val="00942806"/>
    <w:rsid w:val="00947C27"/>
    <w:rsid w:val="00951AE1"/>
    <w:rsid w:val="0095634A"/>
    <w:rsid w:val="00963B56"/>
    <w:rsid w:val="0097454A"/>
    <w:rsid w:val="00980EBB"/>
    <w:rsid w:val="009836A6"/>
    <w:rsid w:val="009845F0"/>
    <w:rsid w:val="009877A2"/>
    <w:rsid w:val="009C07D9"/>
    <w:rsid w:val="009C23E8"/>
    <w:rsid w:val="009C5047"/>
    <w:rsid w:val="009C7BC9"/>
    <w:rsid w:val="009D354D"/>
    <w:rsid w:val="009D7DAA"/>
    <w:rsid w:val="009E661A"/>
    <w:rsid w:val="009F3794"/>
    <w:rsid w:val="009F7089"/>
    <w:rsid w:val="00A12133"/>
    <w:rsid w:val="00A144ED"/>
    <w:rsid w:val="00A1519F"/>
    <w:rsid w:val="00A157B1"/>
    <w:rsid w:val="00A17B2C"/>
    <w:rsid w:val="00A233AE"/>
    <w:rsid w:val="00A23412"/>
    <w:rsid w:val="00A24CB5"/>
    <w:rsid w:val="00A35C44"/>
    <w:rsid w:val="00A3764C"/>
    <w:rsid w:val="00A4688C"/>
    <w:rsid w:val="00A5546C"/>
    <w:rsid w:val="00A565A8"/>
    <w:rsid w:val="00A61F05"/>
    <w:rsid w:val="00A64EEF"/>
    <w:rsid w:val="00A75330"/>
    <w:rsid w:val="00A7782B"/>
    <w:rsid w:val="00A82D87"/>
    <w:rsid w:val="00A93511"/>
    <w:rsid w:val="00A97BD9"/>
    <w:rsid w:val="00AA2EF0"/>
    <w:rsid w:val="00AB5CEB"/>
    <w:rsid w:val="00AD0068"/>
    <w:rsid w:val="00AD0EBF"/>
    <w:rsid w:val="00AD3DD3"/>
    <w:rsid w:val="00AD66E1"/>
    <w:rsid w:val="00AE3AE0"/>
    <w:rsid w:val="00AE3F22"/>
    <w:rsid w:val="00AE42E9"/>
    <w:rsid w:val="00AE496E"/>
    <w:rsid w:val="00AE7F9D"/>
    <w:rsid w:val="00AF0892"/>
    <w:rsid w:val="00AF6321"/>
    <w:rsid w:val="00AF6CC8"/>
    <w:rsid w:val="00B043E1"/>
    <w:rsid w:val="00B04D62"/>
    <w:rsid w:val="00B0749F"/>
    <w:rsid w:val="00B15C43"/>
    <w:rsid w:val="00B23A5D"/>
    <w:rsid w:val="00B275CF"/>
    <w:rsid w:val="00B324DD"/>
    <w:rsid w:val="00B342C9"/>
    <w:rsid w:val="00B50B40"/>
    <w:rsid w:val="00B51E56"/>
    <w:rsid w:val="00B6757A"/>
    <w:rsid w:val="00B70965"/>
    <w:rsid w:val="00B73AFC"/>
    <w:rsid w:val="00B741F7"/>
    <w:rsid w:val="00B76024"/>
    <w:rsid w:val="00B769D8"/>
    <w:rsid w:val="00B77513"/>
    <w:rsid w:val="00B8097A"/>
    <w:rsid w:val="00B82DB3"/>
    <w:rsid w:val="00B84590"/>
    <w:rsid w:val="00B927CA"/>
    <w:rsid w:val="00BC3F2F"/>
    <w:rsid w:val="00BD7019"/>
    <w:rsid w:val="00BE14D4"/>
    <w:rsid w:val="00BE44A0"/>
    <w:rsid w:val="00BF3C69"/>
    <w:rsid w:val="00BF7E0E"/>
    <w:rsid w:val="00C02D00"/>
    <w:rsid w:val="00C107A6"/>
    <w:rsid w:val="00C11614"/>
    <w:rsid w:val="00C25064"/>
    <w:rsid w:val="00C27477"/>
    <w:rsid w:val="00C279F4"/>
    <w:rsid w:val="00C333F2"/>
    <w:rsid w:val="00C42E99"/>
    <w:rsid w:val="00C45012"/>
    <w:rsid w:val="00C54045"/>
    <w:rsid w:val="00C54373"/>
    <w:rsid w:val="00C70B8A"/>
    <w:rsid w:val="00C729CA"/>
    <w:rsid w:val="00C858E4"/>
    <w:rsid w:val="00C916C4"/>
    <w:rsid w:val="00C93B4B"/>
    <w:rsid w:val="00C949D1"/>
    <w:rsid w:val="00CA3AF4"/>
    <w:rsid w:val="00CA77CC"/>
    <w:rsid w:val="00CA7892"/>
    <w:rsid w:val="00CB3673"/>
    <w:rsid w:val="00CB45A2"/>
    <w:rsid w:val="00CB4FD5"/>
    <w:rsid w:val="00CC250C"/>
    <w:rsid w:val="00CD0094"/>
    <w:rsid w:val="00CD794F"/>
    <w:rsid w:val="00CE4714"/>
    <w:rsid w:val="00CE5C65"/>
    <w:rsid w:val="00CE68D7"/>
    <w:rsid w:val="00CE79D2"/>
    <w:rsid w:val="00CF07D2"/>
    <w:rsid w:val="00CF157F"/>
    <w:rsid w:val="00CF16B7"/>
    <w:rsid w:val="00CF1C3D"/>
    <w:rsid w:val="00D00592"/>
    <w:rsid w:val="00D017B5"/>
    <w:rsid w:val="00D022B3"/>
    <w:rsid w:val="00D022DD"/>
    <w:rsid w:val="00D04FFB"/>
    <w:rsid w:val="00D06246"/>
    <w:rsid w:val="00D07EBC"/>
    <w:rsid w:val="00D10660"/>
    <w:rsid w:val="00D12DF0"/>
    <w:rsid w:val="00D22478"/>
    <w:rsid w:val="00D26068"/>
    <w:rsid w:val="00D325E0"/>
    <w:rsid w:val="00D35253"/>
    <w:rsid w:val="00D52B3B"/>
    <w:rsid w:val="00D65ED9"/>
    <w:rsid w:val="00D77495"/>
    <w:rsid w:val="00D80261"/>
    <w:rsid w:val="00D95D10"/>
    <w:rsid w:val="00DA04FB"/>
    <w:rsid w:val="00DB0AAB"/>
    <w:rsid w:val="00DB1CFC"/>
    <w:rsid w:val="00DB46EF"/>
    <w:rsid w:val="00DC253A"/>
    <w:rsid w:val="00DE6A2C"/>
    <w:rsid w:val="00DE70A3"/>
    <w:rsid w:val="00DF3D7A"/>
    <w:rsid w:val="00DF4320"/>
    <w:rsid w:val="00DF4B9C"/>
    <w:rsid w:val="00DF6C76"/>
    <w:rsid w:val="00E065D4"/>
    <w:rsid w:val="00E07C58"/>
    <w:rsid w:val="00E17762"/>
    <w:rsid w:val="00E20E7D"/>
    <w:rsid w:val="00E22D90"/>
    <w:rsid w:val="00E2708C"/>
    <w:rsid w:val="00E31FF5"/>
    <w:rsid w:val="00E354B8"/>
    <w:rsid w:val="00E638B7"/>
    <w:rsid w:val="00E700E3"/>
    <w:rsid w:val="00E7328B"/>
    <w:rsid w:val="00E74B24"/>
    <w:rsid w:val="00E75A02"/>
    <w:rsid w:val="00E8708E"/>
    <w:rsid w:val="00E877D4"/>
    <w:rsid w:val="00E90EA1"/>
    <w:rsid w:val="00E97CD9"/>
    <w:rsid w:val="00EA1CC9"/>
    <w:rsid w:val="00EA36C2"/>
    <w:rsid w:val="00EB08BF"/>
    <w:rsid w:val="00EC02C3"/>
    <w:rsid w:val="00EC08BA"/>
    <w:rsid w:val="00ED6562"/>
    <w:rsid w:val="00EE2A34"/>
    <w:rsid w:val="00EE6F2A"/>
    <w:rsid w:val="00EF04FE"/>
    <w:rsid w:val="00EF0948"/>
    <w:rsid w:val="00EF2E80"/>
    <w:rsid w:val="00F02B71"/>
    <w:rsid w:val="00F04157"/>
    <w:rsid w:val="00F041EE"/>
    <w:rsid w:val="00F16E3C"/>
    <w:rsid w:val="00F2364B"/>
    <w:rsid w:val="00F27C26"/>
    <w:rsid w:val="00F37810"/>
    <w:rsid w:val="00F42F2A"/>
    <w:rsid w:val="00F47E1D"/>
    <w:rsid w:val="00F61040"/>
    <w:rsid w:val="00F61343"/>
    <w:rsid w:val="00F6317E"/>
    <w:rsid w:val="00F63DDA"/>
    <w:rsid w:val="00F67BCF"/>
    <w:rsid w:val="00F730CF"/>
    <w:rsid w:val="00F7698A"/>
    <w:rsid w:val="00F769FD"/>
    <w:rsid w:val="00F776DA"/>
    <w:rsid w:val="00F80898"/>
    <w:rsid w:val="00F84285"/>
    <w:rsid w:val="00F84D0D"/>
    <w:rsid w:val="00F9423E"/>
    <w:rsid w:val="00F9555E"/>
    <w:rsid w:val="00FA2547"/>
    <w:rsid w:val="00FA6A6C"/>
    <w:rsid w:val="00FA6AC6"/>
    <w:rsid w:val="00FB0C28"/>
    <w:rsid w:val="00FB27B0"/>
    <w:rsid w:val="00FB421A"/>
    <w:rsid w:val="00FB629D"/>
    <w:rsid w:val="00FC0D38"/>
    <w:rsid w:val="00FC1B94"/>
    <w:rsid w:val="00FC57DE"/>
    <w:rsid w:val="00FE1A73"/>
    <w:rsid w:val="00FF2D5C"/>
    <w:rsid w:val="02555325"/>
    <w:rsid w:val="026719B5"/>
    <w:rsid w:val="02771822"/>
    <w:rsid w:val="03B84428"/>
    <w:rsid w:val="05164BE7"/>
    <w:rsid w:val="0526573D"/>
    <w:rsid w:val="05C4765E"/>
    <w:rsid w:val="07BC7C54"/>
    <w:rsid w:val="0CA92A93"/>
    <w:rsid w:val="0D066E0C"/>
    <w:rsid w:val="0D744909"/>
    <w:rsid w:val="10021C1D"/>
    <w:rsid w:val="1021280F"/>
    <w:rsid w:val="14D61074"/>
    <w:rsid w:val="15773B59"/>
    <w:rsid w:val="167F041F"/>
    <w:rsid w:val="17125EF9"/>
    <w:rsid w:val="1D9E5A8F"/>
    <w:rsid w:val="1DD86B05"/>
    <w:rsid w:val="1F1001F1"/>
    <w:rsid w:val="21492337"/>
    <w:rsid w:val="21D5386A"/>
    <w:rsid w:val="222F322D"/>
    <w:rsid w:val="22FB2C91"/>
    <w:rsid w:val="23565907"/>
    <w:rsid w:val="2482131D"/>
    <w:rsid w:val="24D97CFB"/>
    <w:rsid w:val="264D2E03"/>
    <w:rsid w:val="27D03A57"/>
    <w:rsid w:val="27D268CD"/>
    <w:rsid w:val="290F0C47"/>
    <w:rsid w:val="294F493A"/>
    <w:rsid w:val="29AC4D56"/>
    <w:rsid w:val="2AE928BD"/>
    <w:rsid w:val="2C0360C7"/>
    <w:rsid w:val="2C7A0382"/>
    <w:rsid w:val="2C837B35"/>
    <w:rsid w:val="2D8465AD"/>
    <w:rsid w:val="2D881692"/>
    <w:rsid w:val="2E6B76B4"/>
    <w:rsid w:val="30881C34"/>
    <w:rsid w:val="30A14B55"/>
    <w:rsid w:val="32E90E59"/>
    <w:rsid w:val="39706B74"/>
    <w:rsid w:val="3AF04DF7"/>
    <w:rsid w:val="3E87376F"/>
    <w:rsid w:val="40010098"/>
    <w:rsid w:val="43D24ED2"/>
    <w:rsid w:val="441A7AF1"/>
    <w:rsid w:val="47CB21D4"/>
    <w:rsid w:val="48226466"/>
    <w:rsid w:val="48FC0C64"/>
    <w:rsid w:val="4A26034C"/>
    <w:rsid w:val="4CC62FE9"/>
    <w:rsid w:val="4EA21C6D"/>
    <w:rsid w:val="502E2A7B"/>
    <w:rsid w:val="51162C16"/>
    <w:rsid w:val="525B32AE"/>
    <w:rsid w:val="536602E5"/>
    <w:rsid w:val="59AB7B99"/>
    <w:rsid w:val="59EB6112"/>
    <w:rsid w:val="5AB745E0"/>
    <w:rsid w:val="5AE30FD1"/>
    <w:rsid w:val="5C3F63A9"/>
    <w:rsid w:val="5D1C04D8"/>
    <w:rsid w:val="5D2D0F55"/>
    <w:rsid w:val="5D5A564F"/>
    <w:rsid w:val="62534F3B"/>
    <w:rsid w:val="626D1BD1"/>
    <w:rsid w:val="63A459B5"/>
    <w:rsid w:val="64895E16"/>
    <w:rsid w:val="675C6603"/>
    <w:rsid w:val="689258A8"/>
    <w:rsid w:val="68C864FE"/>
    <w:rsid w:val="6A593D72"/>
    <w:rsid w:val="6AAD1354"/>
    <w:rsid w:val="6AD77EF7"/>
    <w:rsid w:val="6BF3784C"/>
    <w:rsid w:val="6DED3FD7"/>
    <w:rsid w:val="6E3D16DA"/>
    <w:rsid w:val="6EE27DBB"/>
    <w:rsid w:val="709A5EF3"/>
    <w:rsid w:val="70C27F8A"/>
    <w:rsid w:val="72653E12"/>
    <w:rsid w:val="732F3A67"/>
    <w:rsid w:val="73E00430"/>
    <w:rsid w:val="74201AAE"/>
    <w:rsid w:val="74F74FF0"/>
    <w:rsid w:val="765950B8"/>
    <w:rsid w:val="78553480"/>
    <w:rsid w:val="795E04B8"/>
    <w:rsid w:val="79FB19AC"/>
    <w:rsid w:val="7B924BC4"/>
    <w:rsid w:val="7DD81E69"/>
    <w:rsid w:val="7EA26DF5"/>
    <w:rsid w:val="7FAA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9"/>
    <w:pPr>
      <w:spacing w:beforeAutospacing="1" w:afterAutospacing="1"/>
      <w:jc w:val="left"/>
      <w:outlineLvl w:val="2"/>
    </w:pPr>
    <w:rPr>
      <w:rFonts w:ascii="宋体" w:hAnsi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6"/>
    <w:semiHidden/>
    <w:qFormat/>
    <w:locked/>
    <w:uiPriority w:val="99"/>
    <w:rPr>
      <w:b/>
      <w:bCs/>
    </w:rPr>
  </w:style>
  <w:style w:type="paragraph" w:styleId="4">
    <w:name w:val="annotation text"/>
    <w:basedOn w:val="1"/>
    <w:link w:val="15"/>
    <w:semiHidden/>
    <w:qFormat/>
    <w:locked/>
    <w:uiPriority w:val="99"/>
    <w:pPr>
      <w:jc w:val="left"/>
    </w:pPr>
  </w:style>
  <w:style w:type="paragraph" w:styleId="5">
    <w:name w:val="Balloon Text"/>
    <w:basedOn w:val="1"/>
    <w:link w:val="17"/>
    <w:semiHidden/>
    <w:qFormat/>
    <w:locked/>
    <w:uiPriority w:val="99"/>
    <w:rPr>
      <w:sz w:val="18"/>
      <w:szCs w:val="18"/>
    </w:rPr>
  </w:style>
  <w:style w:type="paragraph" w:styleId="6">
    <w:name w:val="footer"/>
    <w:basedOn w:val="1"/>
    <w:link w:val="1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semiHidden/>
    <w:qFormat/>
    <w:locked/>
    <w:uiPriority w:val="99"/>
    <w:rPr>
      <w:rFonts w:cs="Times New Roman"/>
      <w:color w:val="0000FF"/>
      <w:u w:val="single"/>
    </w:rPr>
  </w:style>
  <w:style w:type="character" w:styleId="11">
    <w:name w:val="annotation reference"/>
    <w:basedOn w:val="8"/>
    <w:semiHidden/>
    <w:qFormat/>
    <w:locked/>
    <w:uiPriority w:val="99"/>
    <w:rPr>
      <w:rFonts w:cs="Times New Roman"/>
      <w:sz w:val="21"/>
      <w:szCs w:val="21"/>
    </w:rPr>
  </w:style>
  <w:style w:type="table" w:styleId="13">
    <w:name w:val="Table Grid"/>
    <w:basedOn w:val="12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Heading 3 Char"/>
    <w:basedOn w:val="8"/>
    <w:link w:val="2"/>
    <w:semiHidden/>
    <w:qFormat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15">
    <w:name w:val="Comment Text Char"/>
    <w:basedOn w:val="8"/>
    <w:link w:val="4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6">
    <w:name w:val="Comment Subject Char"/>
    <w:basedOn w:val="15"/>
    <w:link w:val="3"/>
    <w:semiHidden/>
    <w:qFormat/>
    <w:locked/>
    <w:uiPriority w:val="99"/>
    <w:rPr>
      <w:b/>
      <w:bCs/>
    </w:rPr>
  </w:style>
  <w:style w:type="character" w:customStyle="1" w:styleId="17">
    <w:name w:val="Balloon Text Char"/>
    <w:basedOn w:val="8"/>
    <w:link w:val="5"/>
    <w:semiHidden/>
    <w:qFormat/>
    <w:locked/>
    <w:uiPriority w:val="99"/>
    <w:rPr>
      <w:rFonts w:ascii="Calibri" w:hAnsi="Calibri" w:cs="Calibri"/>
      <w:sz w:val="2"/>
    </w:rPr>
  </w:style>
  <w:style w:type="character" w:customStyle="1" w:styleId="18">
    <w:name w:val="Foot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Header Char"/>
    <w:basedOn w:val="8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habc</Company>
  <Pages>2</Pages>
  <Words>1765</Words>
  <Characters>1815</Characters>
  <Lines>0</Lines>
  <Paragraphs>0</Paragraphs>
  <TotalTime>4</TotalTime>
  <ScaleCrop>false</ScaleCrop>
  <LinksUpToDate>false</LinksUpToDate>
  <CharactersWithSpaces>1815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2014-06-26T12:10:00Z</dcterms:created>
  <dc:creator>lenovo</dc:creator>
  <cp:lastModifiedBy>Administrator</cp:lastModifiedBy>
  <cp:lastPrinted>2019-08-30T05:52:57Z</cp:lastPrinted>
  <dcterms:modified xsi:type="dcterms:W3CDTF">2019-08-30T09:25:20Z</dcterms:modified>
  <dc:title>教务处2015-2016学年第一学期工作要点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KSORubyTemplateID" linkTarget="0">
    <vt:lpwstr>6</vt:lpwstr>
  </property>
</Properties>
</file>